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各功能点的响应情况、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免费维保期后维保费率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实施方案、计划的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完整性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日巡、周巡、月巡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可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操作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  <w:lang w:val="en-US" w:eastAsia="zh-CN"/>
              </w:rPr>
              <w:t>对乙方各院区消防维保工作的协调性、统筹性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对硬件、耗材要求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实施周期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szCs w:val="21"/>
              </w:rPr>
              <w:t>合作单位+合作金额”命名。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zYWIxNGIyNDM3OWQzNzM2ZGRmNmM5ZDZlMTQ1ZjU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1DB12C72"/>
    <w:rsid w:val="210C1D65"/>
    <w:rsid w:val="283B7254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</Words>
  <Characters>462</Characters>
  <Lines>3</Lines>
  <Paragraphs>1</Paragraphs>
  <TotalTime>16</TotalTime>
  <ScaleCrop>false</ScaleCrop>
  <LinksUpToDate>false</LinksUpToDate>
  <CharactersWithSpaces>542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netuser</cp:lastModifiedBy>
  <dcterms:modified xsi:type="dcterms:W3CDTF">2024-03-13T07:43:04Z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90C4D8EDE5A8414FBC970A6FA23983CE_12</vt:lpwstr>
  </property>
</Properties>
</file>